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86" w:rsidRDefault="00A74186" w:rsidP="00A74186">
      <w:pPr>
        <w:spacing w:after="0" w:line="240" w:lineRule="auto"/>
        <w:jc w:val="center"/>
        <w:rPr>
          <w:b/>
          <w:color w:val="C00000"/>
          <w:sz w:val="36"/>
          <w:szCs w:val="36"/>
        </w:rPr>
      </w:pPr>
    </w:p>
    <w:p w:rsidR="00A74186" w:rsidRDefault="00A74186" w:rsidP="00A74186">
      <w:pPr>
        <w:spacing w:after="0" w:line="240" w:lineRule="auto"/>
        <w:jc w:val="center"/>
        <w:rPr>
          <w:b/>
          <w:color w:val="C00000"/>
          <w:sz w:val="36"/>
          <w:szCs w:val="36"/>
        </w:rPr>
      </w:pPr>
      <w:r w:rsidRPr="00A74186">
        <w:rPr>
          <w:b/>
          <w:color w:val="C00000"/>
          <w:sz w:val="36"/>
          <w:szCs w:val="36"/>
        </w:rPr>
        <w:t>Vilniaus universiteto Orientalistikos centras</w:t>
      </w:r>
      <w:r>
        <w:rPr>
          <w:b/>
          <w:color w:val="C00000"/>
          <w:sz w:val="36"/>
          <w:szCs w:val="36"/>
        </w:rPr>
        <w:t xml:space="preserve"> </w:t>
      </w:r>
    </w:p>
    <w:p w:rsidR="00A74186" w:rsidRDefault="00A74186" w:rsidP="00A74186">
      <w:pPr>
        <w:spacing w:after="0" w:line="240" w:lineRule="auto"/>
        <w:jc w:val="center"/>
        <w:rPr>
          <w:b/>
          <w:color w:val="C00000"/>
          <w:sz w:val="36"/>
          <w:szCs w:val="36"/>
        </w:rPr>
      </w:pPr>
      <w:r w:rsidRPr="00A74186">
        <w:rPr>
          <w:b/>
          <w:color w:val="C00000"/>
          <w:sz w:val="36"/>
          <w:szCs w:val="36"/>
        </w:rPr>
        <w:t xml:space="preserve">kviečia į </w:t>
      </w:r>
      <w:r>
        <w:rPr>
          <w:b/>
          <w:color w:val="C00000"/>
          <w:sz w:val="36"/>
          <w:szCs w:val="36"/>
        </w:rPr>
        <w:t xml:space="preserve">Ohajo universiteto </w:t>
      </w:r>
      <w:r w:rsidRPr="00A74186">
        <w:rPr>
          <w:b/>
          <w:color w:val="C00000"/>
          <w:sz w:val="36"/>
          <w:szCs w:val="36"/>
        </w:rPr>
        <w:t>pr</w:t>
      </w:r>
      <w:r>
        <w:rPr>
          <w:b/>
          <w:color w:val="C00000"/>
          <w:sz w:val="36"/>
          <w:szCs w:val="36"/>
        </w:rPr>
        <w:t xml:space="preserve">ofesoriaus </w:t>
      </w:r>
    </w:p>
    <w:p w:rsidR="00A74186" w:rsidRDefault="00A74186" w:rsidP="00A74186">
      <w:pPr>
        <w:spacing w:after="0" w:line="240" w:lineRule="auto"/>
        <w:jc w:val="center"/>
        <w:rPr>
          <w:b/>
          <w:color w:val="C00000"/>
          <w:sz w:val="36"/>
          <w:szCs w:val="36"/>
        </w:rPr>
      </w:pPr>
      <w:r>
        <w:rPr>
          <w:b/>
          <w:color w:val="C00000"/>
          <w:sz w:val="36"/>
          <w:szCs w:val="36"/>
        </w:rPr>
        <w:t xml:space="preserve">Algio Mickūno viešas </w:t>
      </w:r>
      <w:r w:rsidRPr="00A74186">
        <w:rPr>
          <w:b/>
          <w:color w:val="C00000"/>
          <w:sz w:val="36"/>
          <w:szCs w:val="36"/>
        </w:rPr>
        <w:t>paskaitas</w:t>
      </w:r>
    </w:p>
    <w:p w:rsidR="00A74186" w:rsidRPr="00A74186" w:rsidRDefault="00A74186" w:rsidP="00A74186">
      <w:pPr>
        <w:spacing w:line="240" w:lineRule="auto"/>
        <w:jc w:val="center"/>
        <w:rPr>
          <w:b/>
          <w:color w:val="C00000"/>
          <w:sz w:val="28"/>
          <w:szCs w:val="28"/>
        </w:rPr>
      </w:pPr>
    </w:p>
    <w:p w:rsidR="00A74186" w:rsidRDefault="00A74186" w:rsidP="00A671C7">
      <w:pPr>
        <w:jc w:val="center"/>
      </w:pPr>
      <w:r>
        <w:rPr>
          <w:noProof/>
          <w:lang w:eastAsia="lt-LT"/>
        </w:rPr>
        <w:drawing>
          <wp:inline distT="0" distB="0" distL="0" distR="0">
            <wp:extent cx="3885203" cy="1786597"/>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kunas.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86283" cy="1787094"/>
                    </a:xfrm>
                    <a:prstGeom prst="rect">
                      <a:avLst/>
                    </a:prstGeom>
                  </pic:spPr>
                </pic:pic>
              </a:graphicData>
            </a:graphic>
          </wp:inline>
        </w:drawing>
      </w:r>
    </w:p>
    <w:p w:rsidR="00A74186" w:rsidRPr="00A74186" w:rsidRDefault="00A74186" w:rsidP="00A74186">
      <w:pPr>
        <w:jc w:val="center"/>
        <w:rPr>
          <w:b/>
        </w:rPr>
      </w:pPr>
      <w:bookmarkStart w:id="0" w:name="_GoBack"/>
      <w:bookmarkEnd w:id="0"/>
      <w:r w:rsidRPr="00A74186">
        <w:rPr>
          <w:b/>
        </w:rPr>
        <w:t>PIRMOJI PASKAITA</w:t>
      </w:r>
    </w:p>
    <w:p w:rsidR="001035B9" w:rsidRDefault="00A74186" w:rsidP="001035B9">
      <w:pPr>
        <w:jc w:val="both"/>
      </w:pPr>
      <w:r w:rsidRPr="001035B9">
        <w:rPr>
          <w:b/>
          <w:i/>
        </w:rPr>
        <w:t>Spalio 21 d., antradienį, 13 val.</w:t>
      </w:r>
      <w:r>
        <w:t xml:space="preserve"> profesorius Algis Mickūnas skaitys pirmąją viešą paskaitą Orientalistikos centre </w:t>
      </w:r>
      <w:r w:rsidRPr="001035B9">
        <w:rPr>
          <w:b/>
          <w:color w:val="7030A0"/>
          <w:sz w:val="28"/>
          <w:szCs w:val="28"/>
        </w:rPr>
        <w:t>„Įtampos tarp hermeneutikos „ratų““</w:t>
      </w:r>
      <w:r w:rsidRPr="001035B9">
        <w:rPr>
          <w:b/>
          <w:sz w:val="28"/>
          <w:szCs w:val="28"/>
        </w:rPr>
        <w:t>.</w:t>
      </w:r>
      <w:r>
        <w:t xml:space="preserve"> Vieta – J. Kovalevskio aud. (įėjimas iš S. Daukanto kiemo, II aukštas).</w:t>
      </w:r>
      <w:r w:rsidR="001035B9">
        <w:tab/>
      </w:r>
      <w:r w:rsidR="001035B9">
        <w:tab/>
      </w:r>
      <w:r w:rsidR="001035B9">
        <w:tab/>
      </w:r>
    </w:p>
    <w:p w:rsidR="00A671C7" w:rsidRDefault="001035B9" w:rsidP="001035B9">
      <w:pPr>
        <w:jc w:val="both"/>
      </w:pPr>
      <w:r>
        <w:tab/>
      </w:r>
      <w:r>
        <w:tab/>
      </w:r>
      <w:r>
        <w:tab/>
        <w:t xml:space="preserve">        </w:t>
      </w:r>
      <w:r w:rsidR="00A74186" w:rsidRPr="00A671C7">
        <w:rPr>
          <w:i/>
        </w:rPr>
        <w:t xml:space="preserve">Paskaitos </w:t>
      </w:r>
      <w:r w:rsidR="00A671C7" w:rsidRPr="00A671C7">
        <w:rPr>
          <w:i/>
        </w:rPr>
        <w:t>anotacija</w:t>
      </w:r>
    </w:p>
    <w:p w:rsidR="00A74186" w:rsidRDefault="00A74186" w:rsidP="00A74186">
      <w:pPr>
        <w:jc w:val="both"/>
      </w:pPr>
      <w:r>
        <w:t>Visa patirtis yra kalbos interpretacija, ir nors kalba (bet kuri) yra plati, ji nėra begalinė; todėl kiekvienas žodis siejasi su kitais žodžiais ir pagaliau sudaro interpretacijos ratą. Bet kartais randasi tradicijos, kurios atveria ne vieną, bet du interpretacijos ratus tokiu būdu kad mėginimas pagristi visą supratimą vieno rato rėmuose atskleidžia kito interpretavimo rato būtinybę ir tarp jų pasirodžiusią įtampą. Paskaitoje bus nagrinėjami du Indijos pamatiniai tekstai – Ramajana ir Mahabharata, ir šiuolaikinė hermeneutinė kontraversija mėginant ginti vieną ar kitą supratimo ratą.</w:t>
      </w:r>
    </w:p>
    <w:p w:rsidR="00A74186" w:rsidRPr="00A74186" w:rsidRDefault="00A74186" w:rsidP="001035B9">
      <w:pPr>
        <w:jc w:val="both"/>
        <w:rPr>
          <w:b/>
        </w:rPr>
      </w:pPr>
      <w:r>
        <w:t xml:space="preserve"> </w:t>
      </w:r>
      <w:r w:rsidR="001035B9">
        <w:tab/>
      </w:r>
      <w:r w:rsidR="001035B9">
        <w:tab/>
      </w:r>
      <w:r w:rsidR="001035B9">
        <w:tab/>
        <w:t xml:space="preserve">         </w:t>
      </w:r>
      <w:r w:rsidRPr="00A74186">
        <w:rPr>
          <w:b/>
        </w:rPr>
        <w:t>ANTROJI PASKAITA</w:t>
      </w:r>
    </w:p>
    <w:p w:rsidR="00A74186" w:rsidRDefault="00A74186" w:rsidP="00A74186">
      <w:pPr>
        <w:jc w:val="both"/>
      </w:pPr>
      <w:r w:rsidRPr="001035B9">
        <w:rPr>
          <w:b/>
          <w:i/>
        </w:rPr>
        <w:t>Spalio 28 d., antradienį, 13 val.</w:t>
      </w:r>
      <w:r>
        <w:t xml:space="preserve"> profesorius Algis Mickūnas skaitys antrąją viešą paskaitą Orientalistikos centre </w:t>
      </w:r>
      <w:r w:rsidR="001035B9">
        <w:t xml:space="preserve">       </w:t>
      </w:r>
      <w:r w:rsidRPr="001035B9">
        <w:rPr>
          <w:b/>
          <w:color w:val="7030A0"/>
          <w:sz w:val="28"/>
          <w:szCs w:val="28"/>
        </w:rPr>
        <w:t>„O kas po Nirvanos?“.</w:t>
      </w:r>
      <w:r>
        <w:t xml:space="preserve"> Vieta – J. Kovalevskio aud. (įėjimas iš S. Daukanto kiemo, II aukštas).</w:t>
      </w:r>
    </w:p>
    <w:p w:rsidR="00A671C7" w:rsidRPr="00A671C7" w:rsidRDefault="00A671C7" w:rsidP="00A671C7">
      <w:pPr>
        <w:jc w:val="center"/>
        <w:rPr>
          <w:i/>
        </w:rPr>
      </w:pPr>
      <w:r w:rsidRPr="00A671C7">
        <w:rPr>
          <w:i/>
        </w:rPr>
        <w:t>Paskaitos anotacija</w:t>
      </w:r>
    </w:p>
    <w:p w:rsidR="005E4E4C" w:rsidRDefault="00A74186" w:rsidP="00A74186">
      <w:pPr>
        <w:jc w:val="both"/>
      </w:pPr>
      <w:r>
        <w:t xml:space="preserve">Klausimo formą sudaro atsakimo į jį esmę: „po“ ir „prieš“ atveria laiko problematiką be kurios analizės sunku suvokti tęstinumo ir tapatybės klausimą, ir taip pat atsakymą į įvykius „po“. Pranešimas kaip tik syja su sąmonės tęstinumo ir žmogaus tapatybės ontologiniu stoviu ir kaip budizmo sąvokos, nusakančios skirtingus sąmonės klodus, mėgina atsakyti į iškeltą klausimą. Šios problemos </w:t>
      </w:r>
      <w:r w:rsidR="001035B9">
        <w:t>svarba atsiskleidžia kai kurių d</w:t>
      </w:r>
      <w:r>
        <w:t>zenbudizmo radikalių teiginių kontekste, kuriame laiko samprata paneigia Nirvanos būklę.</w:t>
      </w:r>
    </w:p>
    <w:sectPr w:rsidR="005E4E4C" w:rsidSect="00A74186">
      <w:pgSz w:w="11906" w:h="16838"/>
      <w:pgMar w:top="1701" w:right="567" w:bottom="1134" w:left="85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oNotDisplayPageBoundaries/>
  <w:proofState w:spelling="clean" w:grammar="clean"/>
  <w:defaultTabStop w:val="1296"/>
  <w:hyphenationZone w:val="396"/>
  <w:characterSpacingControl w:val="doNotCompress"/>
  <w:compat/>
  <w:rsids>
    <w:rsidRoot w:val="00A74186"/>
    <w:rsid w:val="001035B9"/>
    <w:rsid w:val="005E4E4C"/>
    <w:rsid w:val="00A671C7"/>
    <w:rsid w:val="00A74186"/>
    <w:rsid w:val="00DB7DE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B7DE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7418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74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1124</Words>
  <Characters>642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Orientalistai</dc:creator>
  <cp:lastModifiedBy>Audrius</cp:lastModifiedBy>
  <cp:revision>2</cp:revision>
  <cp:lastPrinted>2014-10-17T09:24:00Z</cp:lastPrinted>
  <dcterms:created xsi:type="dcterms:W3CDTF">2014-10-18T11:46:00Z</dcterms:created>
  <dcterms:modified xsi:type="dcterms:W3CDTF">2014-10-18T11:46:00Z</dcterms:modified>
</cp:coreProperties>
</file>